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4"/>
        <w:textAlignment w:val="baseline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2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pacing w:val="-18"/>
          <w:sz w:val="32"/>
          <w:szCs w:val="32"/>
        </w:rPr>
        <w:t xml:space="preserve">件 </w:t>
      </w:r>
      <w:r>
        <w:rPr>
          <w:rFonts w:hint="eastAsia" w:ascii="黑体" w:hAnsi="黑体" w:eastAsia="黑体" w:cs="黑体"/>
          <w:b w:val="0"/>
          <w:bCs w:val="0"/>
          <w:color w:val="auto"/>
          <w:spacing w:val="-18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850" w:right="153" w:hanging="2691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850" w:right="153" w:hanging="2691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年吉林省研究生教学改革研究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课题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850" w:right="153" w:hanging="2691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立项指南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  <w:t>一、重点项目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1.1 《中华人民共和国学位法》贯彻落实与实践研究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新时代研究生教育强国重大理论研究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 xml:space="preserve">1.3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highlight w:val="none"/>
          <w:lang w:val="en-US" w:eastAsia="zh-CN"/>
        </w:rPr>
        <w:t>服务国家战略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与区域产业的研究生教育研究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1.4 学术学位与专业学位研究生分类发展实践研究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 xml:space="preserve">.5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吉林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</w:rPr>
        <w:t>省学位与研究生教育高质量发展体系研究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C00000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lang w:val="en-US" w:eastAsia="zh-CN"/>
        </w:rPr>
        <w:t>.6 研究生教育支撑吉林全面振兴发展的机制与贡献研究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  <w:lang w:val="en-US" w:eastAsia="zh-CN"/>
        </w:rPr>
        <w:t>基础学科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拔尖创新人才培养模式研究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lang w:val="en-US" w:eastAsia="zh-CN"/>
        </w:rPr>
        <w:t>.8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国家关键领域急需高层次人才培养路径研究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新时代卓越工程师培养模式创新实践研究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研究生教育质量监测体系构建研究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新时代研究生思想政治教育工作创新研究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1.12 研究生导师队伍质量建设研究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1.13 研究生教育治理体系和治理能力现代化研究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1.14 吉林省研究生教育对外开放融合研究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1.15 博士研究生国际视野形成模式构建研究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1.16 人工智能赋能研究生教育高质量发展创新实践研究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黑体" w:hAnsi="黑体" w:eastAsia="黑体" w:cs="黑体"/>
          <w:color w:val="auto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1.17 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  <w:t>人工智能时代研究生核心课程体系建设研究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1.18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人工智能大模型背景下研究生教育教学范式变革研究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1.19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专业学位研究生以实践成果申请学位的标准与评价机制研究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1.20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教育科技人才一体推进背景下高层次人才培养协同机制研究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1.21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有组织科研牵引下研究生培养模式改革研究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1.22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研究生教育数字治理、数据安全与学术伦理研究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  <w:t>二、一般项目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（一）“双一流”与学科建设研究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2.1 一流大学和一流学科建设理论研究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2.2 “双一流”建设路径与成效评价研究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2.3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</w:rPr>
        <w:t>“双一流”建设与研究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生教育改革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C00000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2.4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学科建设与区域创新体系融合研究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right="400" w:firstLine="0" w:firstLineChars="0"/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  <w:lang w:val="en-US" w:eastAsia="zh-CN"/>
        </w:rPr>
        <w:t xml:space="preserve">2.5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1"/>
          <w:sz w:val="32"/>
          <w:szCs w:val="32"/>
          <w:shd w:val="clear"/>
        </w:rPr>
        <w:t>交叉学科建设与研究生跨学科创新人才培养机制研究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（二）研究生招生录取改革研究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2.7 新形势下研究生招生考试制度改革研究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2.8 研究生招生规模与结构调整研究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2.9 研究生招生考试与教育公平公正研究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2.10 研究生考试招生中的综合评价研究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2.11 研究生招生考试自命题考试优化研究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（三）研究生培养改革研究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2.12 学科视域下研究生教育育人规律研究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2.13 人工智能+研究生培养改革研究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2.14 新版学科专业目录调整下研究生培养工作研究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2.15 科教融合协同育人培养模式研究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2.16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产教融合提升研究生实践创新能力研究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2.17 博士研究生分流退出机制研究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2.18 哲学社会科学拔尖创新人才培养模式改革研究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2.19 区域研究生联合培养机制研究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2.20 研究生培养学术共同体建设研究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2.21 博士研究生分流退出激励机制研究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2.22 非全日制研究生培养质量提升研究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2.23 专业学位博士生培养模式改革与创新研究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 xml:space="preserve">2.24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 研究生创新创业竞赛与创新人才培养融合研究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2.25 专业学位研究生实践能力培养研究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2.26 学科交叉培养创新人才模式探索研究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2.27 新时代研究生课程体系改革及教材建设研究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2.28 研究生体育与美育实践路径研究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2.29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来华留学研究生培养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模式创新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（四）研究生教育质量保障研究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2.30 研究生教育教学数字化建设研究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2.31 人工智能+研究生教育全过程质量评价研究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2.32 研究生教育内部质量保障体系建设研究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2.33 第三方参与研究生教育质量保障体系建设研究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2.34 交叉学科学术成果认定机制研究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C00000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2.35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研究生教育质量保障及评价问题研究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2.36 研究生课程教学质量评价标准研究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2.37 研究生课程思政教学质量评价研究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2.38 研究生教学模式改革与质量保证研究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2.39 研究生学位论文质量保障体系构建研究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2.40 学术学位研究生学位论文评价标准研究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2.41 专业学位研究生课程教学案例库建设研究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2.42 专业学位研究生专业实践能力评价研究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2.43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研究生教育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多元化育人成效评价研究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2.44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/>
          <w:lang w:val="en-US" w:eastAsia="zh-CN"/>
        </w:rPr>
        <w:t>生成式人工智能背景下研究生学术诚信治理研究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firstLine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/>
          <w:lang w:val="en-US" w:eastAsia="zh-CN"/>
        </w:rPr>
        <w:t xml:space="preserve">5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/>
          <w:lang w:val="en-US" w:eastAsia="zh-CN"/>
        </w:rPr>
        <w:t>研究生实践成果、代表作成果认定与评价机制研究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firstLine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/>
          <w:lang w:val="en-US" w:eastAsia="zh-CN"/>
        </w:rPr>
        <w:t xml:space="preserve">6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3"/>
          <w:sz w:val="32"/>
          <w:szCs w:val="32"/>
          <w:shd w:val="clear"/>
          <w:lang w:val="en-US" w:eastAsia="zh-CN"/>
        </w:rPr>
        <w:t>研究生分类评价与增值评价改革研究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（五）研究生导师队伍建设研究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>2.47 导师落实立德树人职责监督与评价机制研究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>2.48 导师师德师风建设研究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>2.49 专业学位行业导师遴选、培训与评价机制研究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 xml:space="preserve">2.50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研究生导师指导能力提升路径与评价研究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 xml:space="preserve">2.51 导师组制培养模式研究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 xml:space="preserve">2.52 研究生导学共同体构建机制研究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>2.53 校内校外双导师协同育人机制研究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 xml:space="preserve">2.54 导师培训研修体系研究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（六）研究生教育管理研究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2.55 研究生思想政治工作标准研究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2.56 研究生“大思政课”建设研究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2.57 研究生心理健康、学习生态与发展支持体系研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2.58 新形势下研究生教育风险与危机管理应对研究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2.59 研究生安全稳定机制与实践路径研究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2.60 研究生成长发展支持体系与育人机制研究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2.61 研究生职业发展问题研究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2.62 研究生创新能力形成机制与提升路径研究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 xml:space="preserve">2.63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学术文化与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</w:rPr>
        <w:t>学风建设研究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2.64 研究生学术规范和学术道德教育研究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2.65 研究生多元奖助政策体系研究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2.66 研究生基层党建与科研创新相互促进研究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2.67 研究生党建工作机制与实践路径研究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2.68 研究生思想政治教育工作队伍建设研究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2.69 研究生教育管理队伍建设机制与实践路径研究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38" w:right="722" w:firstLine="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/>
          <w:lang w:val="en-US" w:eastAsia="zh-CN"/>
        </w:rPr>
        <w:t>70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/>
          <w:lang w:val="en-US" w:eastAsia="zh-CN"/>
        </w:rPr>
        <w:t xml:space="preserve"> 研究生科研压力疏导与心理支持机制研究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38" w:right="722" w:firstLine="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/>
          <w:lang w:val="en-US" w:eastAsia="zh-CN"/>
        </w:rPr>
        <w:t>71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/>
          <w:lang w:val="en-US" w:eastAsia="zh-CN"/>
        </w:rPr>
        <w:t xml:space="preserve"> 研究生高质量就业与职业胜任力提升研究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（七）研究生教育国际化研究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2.72 研究生国际学术交流机制与模式研究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2.73 研究生导师和研究生国际流动研究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2.74 来华留学生培养能力和管理水平研究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2.75 创新人才培养与科研国际合作关系研究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2.76 “一带一路”共建研究生教育联盟机制与路径研究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2.77 研究生教育国际影响力提升路径研究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2.78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 人类命运共同体与研究生教育可持续发展机制与路径研究</w:t>
      </w:r>
    </w:p>
    <w:sectPr>
      <w:pgSz w:w="11906" w:h="16839"/>
      <w:pgMar w:top="2098" w:right="1474" w:bottom="1984" w:left="1587" w:header="0" w:footer="12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7D8F78FE"/>
    <w:rsid w:val="03322EFC"/>
    <w:rsid w:val="0AF3392D"/>
    <w:rsid w:val="13D806C5"/>
    <w:rsid w:val="141F00F5"/>
    <w:rsid w:val="1A5E2375"/>
    <w:rsid w:val="1D297036"/>
    <w:rsid w:val="20643D76"/>
    <w:rsid w:val="221072CF"/>
    <w:rsid w:val="2ECD31FA"/>
    <w:rsid w:val="3B9B951B"/>
    <w:rsid w:val="3DA610A3"/>
    <w:rsid w:val="3FBFF5D7"/>
    <w:rsid w:val="3FCB2E10"/>
    <w:rsid w:val="457948A6"/>
    <w:rsid w:val="4BDD3C00"/>
    <w:rsid w:val="4DFE67F6"/>
    <w:rsid w:val="5ABF0C92"/>
    <w:rsid w:val="5DAE14FA"/>
    <w:rsid w:val="5EFFB5A5"/>
    <w:rsid w:val="6B7F0005"/>
    <w:rsid w:val="6D6655C2"/>
    <w:rsid w:val="6FBEB073"/>
    <w:rsid w:val="6FFCDB82"/>
    <w:rsid w:val="7232276A"/>
    <w:rsid w:val="731FD8D8"/>
    <w:rsid w:val="73363777"/>
    <w:rsid w:val="74EF1EB1"/>
    <w:rsid w:val="76738213"/>
    <w:rsid w:val="79EE4189"/>
    <w:rsid w:val="7AE570DA"/>
    <w:rsid w:val="7B997277"/>
    <w:rsid w:val="7C5E242A"/>
    <w:rsid w:val="7D8F78FE"/>
    <w:rsid w:val="7DFF5F55"/>
    <w:rsid w:val="7F0C6FB7"/>
    <w:rsid w:val="7F7DFD03"/>
    <w:rsid w:val="AFCB9B5D"/>
    <w:rsid w:val="BEFFD094"/>
    <w:rsid w:val="BF9B40C2"/>
    <w:rsid w:val="BFEFF455"/>
    <w:rsid w:val="CEB72A2B"/>
    <w:rsid w:val="D73FDB43"/>
    <w:rsid w:val="E3F7244B"/>
    <w:rsid w:val="F5F763E5"/>
    <w:rsid w:val="F6E76E2D"/>
    <w:rsid w:val="F7DDAFC7"/>
    <w:rsid w:val="FD3F8A3F"/>
    <w:rsid w:val="FEB55799"/>
    <w:rsid w:val="FFEEA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1661</Words>
  <Characters>1913</Characters>
  <Lines>0</Lines>
  <Paragraphs>0</Paragraphs>
  <TotalTime>11</TotalTime>
  <ScaleCrop>false</ScaleCrop>
  <LinksUpToDate>false</LinksUpToDate>
  <CharactersWithSpaces>2020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2023-03-21T10:24:00Z</dcterms:created>
  <dc:creator>ken</dc:creator>
  <cp:lastModifiedBy>uos</cp:lastModifiedBy>
  <dcterms:modified xsi:type="dcterms:W3CDTF">2026-06-15T11:26:14Z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09801AFEE59646AB8B99485D426917E1_13</vt:lpwstr>
  </property>
</Properties>
</file>